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2B0E1" w14:textId="77777777" w:rsidR="004066DB" w:rsidRDefault="004066DB" w:rsidP="004066D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D688CF7" w14:textId="20865CF2" w:rsidR="004066DB" w:rsidRPr="00ED7A64" w:rsidRDefault="004066DB" w:rsidP="004066D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D7A64">
        <w:rPr>
          <w:rFonts w:ascii="Times New Roman" w:hAnsi="Times New Roman" w:cs="Times New Roman"/>
          <w:sz w:val="18"/>
          <w:szCs w:val="18"/>
        </w:rPr>
        <w:t xml:space="preserve">załącznik do zarządzenia nr </w:t>
      </w:r>
      <w:r w:rsidR="00A9328C">
        <w:rPr>
          <w:rFonts w:ascii="Times New Roman" w:hAnsi="Times New Roman" w:cs="Times New Roman"/>
          <w:sz w:val="18"/>
          <w:szCs w:val="18"/>
        </w:rPr>
        <w:t>35/23</w:t>
      </w:r>
    </w:p>
    <w:p w14:paraId="2EF4C8DB" w14:textId="77777777" w:rsidR="004066DB" w:rsidRPr="00ED7A64" w:rsidRDefault="004066DB" w:rsidP="004066D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D7A64">
        <w:rPr>
          <w:rFonts w:ascii="Times New Roman" w:hAnsi="Times New Roman" w:cs="Times New Roman"/>
          <w:sz w:val="18"/>
          <w:szCs w:val="18"/>
        </w:rPr>
        <w:t xml:space="preserve">Dyrektora Białostockiego Ośrodka Sportu i Rekreacji </w:t>
      </w:r>
    </w:p>
    <w:p w14:paraId="7FCA4D66" w14:textId="70CF5946" w:rsidR="004066DB" w:rsidRPr="00ED7A64" w:rsidRDefault="004066DB" w:rsidP="004066D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ED7A64">
        <w:rPr>
          <w:rFonts w:ascii="Times New Roman" w:hAnsi="Times New Roman" w:cs="Times New Roman"/>
          <w:sz w:val="18"/>
          <w:szCs w:val="18"/>
        </w:rPr>
        <w:t xml:space="preserve">z dnia </w:t>
      </w:r>
      <w:r w:rsidR="00A9328C">
        <w:rPr>
          <w:rFonts w:ascii="Times New Roman" w:hAnsi="Times New Roman" w:cs="Times New Roman"/>
          <w:sz w:val="18"/>
          <w:szCs w:val="18"/>
        </w:rPr>
        <w:t>18.09.</w:t>
      </w:r>
      <w:r w:rsidRPr="00ED7A64">
        <w:rPr>
          <w:rFonts w:ascii="Times New Roman" w:hAnsi="Times New Roman" w:cs="Times New Roman"/>
          <w:sz w:val="18"/>
          <w:szCs w:val="18"/>
        </w:rPr>
        <w:t xml:space="preserve">2023 r.. </w:t>
      </w:r>
    </w:p>
    <w:p w14:paraId="0F084C13" w14:textId="77777777" w:rsidR="004066DB" w:rsidRPr="00ED7A64" w:rsidRDefault="004066DB" w:rsidP="004066D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4C5B3EDB" w14:textId="77777777" w:rsidR="004066DB" w:rsidRPr="00ED7A64" w:rsidRDefault="004066DB" w:rsidP="00A9328C">
      <w:pPr>
        <w:pStyle w:val="podstawa"/>
        <w:tabs>
          <w:tab w:val="left" w:pos="0"/>
        </w:tabs>
        <w:spacing w:before="0" w:after="0"/>
        <w:ind w:firstLine="0"/>
        <w:jc w:val="left"/>
        <w:rPr>
          <w:b/>
        </w:rPr>
      </w:pPr>
      <w:r w:rsidRPr="00ED7A64">
        <w:rPr>
          <w:b/>
        </w:rPr>
        <w:t>Regulamin przetargów na najem, dzierżawę lokali użytkowych i nieruchomości, organizowanych przez Białostocki Ośrodek Sportu i Rekreacji</w:t>
      </w:r>
    </w:p>
    <w:p w14:paraId="63873C1C" w14:textId="77777777" w:rsidR="004066DB" w:rsidRPr="00ED7A64" w:rsidRDefault="004066DB" w:rsidP="00A9328C">
      <w:pPr>
        <w:pStyle w:val="podstawa"/>
        <w:tabs>
          <w:tab w:val="left" w:pos="0"/>
        </w:tabs>
        <w:spacing w:before="0" w:after="0"/>
        <w:ind w:firstLine="0"/>
        <w:jc w:val="left"/>
        <w:rPr>
          <w:b/>
        </w:rPr>
      </w:pPr>
    </w:p>
    <w:p w14:paraId="5619F53B" w14:textId="77777777" w:rsidR="004066DB" w:rsidRPr="00ED7A64" w:rsidRDefault="004066DB" w:rsidP="00A93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1. Przepisy ogólne</w:t>
      </w:r>
    </w:p>
    <w:p w14:paraId="3CE1CA53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organizowany przez Białostocki Ośrodek Sportu i Rekreacji, zwany dalej Ośrodkiem, ma charakter publiczny i przeprowadzany jest w następujących formach:</w:t>
      </w:r>
    </w:p>
    <w:p w14:paraId="3D1BAF97" w14:textId="77777777" w:rsidR="004066DB" w:rsidRPr="00ED7A64" w:rsidRDefault="004066DB" w:rsidP="00A9328C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przetargu ustnego (licytacja);</w:t>
      </w:r>
    </w:p>
    <w:p w14:paraId="6A2BFABC" w14:textId="77777777" w:rsidR="004066DB" w:rsidRPr="00ED7A64" w:rsidRDefault="004066DB" w:rsidP="00A9328C">
      <w:pPr>
        <w:pStyle w:val="Akapitzlist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przetargu pisemnego (złożenie ofert).</w:t>
      </w:r>
    </w:p>
    <w:p w14:paraId="343EF80E" w14:textId="77777777" w:rsidR="004066DB" w:rsidRPr="00ED7A64" w:rsidRDefault="004066DB" w:rsidP="00A9328C">
      <w:pPr>
        <w:pStyle w:val="Akapitzlist"/>
        <w:tabs>
          <w:tab w:val="left" w:pos="284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EBF114B" w14:textId="36A448A0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Przetarg odbywa się na podstawie ogłoszenia o przetargu podanego do publicznej wiadomości co najmniej na 14 dni przed wyznaczonym terminem przetargu, poprzez ogłoszenie w prasie lokalnej, na tablicy ogłoszeń Ośrodka </w:t>
      </w:r>
      <w:r w:rsidR="00560D54" w:rsidRPr="00ED7A64">
        <w:rPr>
          <w:rFonts w:ascii="Times New Roman" w:hAnsi="Times New Roman" w:cs="Times New Roman"/>
          <w:sz w:val="24"/>
          <w:szCs w:val="24"/>
        </w:rPr>
        <w:t>oraz</w:t>
      </w:r>
      <w:r w:rsidRPr="00ED7A64">
        <w:rPr>
          <w:rFonts w:ascii="Times New Roman" w:hAnsi="Times New Roman" w:cs="Times New Roman"/>
          <w:sz w:val="24"/>
          <w:szCs w:val="24"/>
        </w:rPr>
        <w:t xml:space="preserve"> Urzędu </w:t>
      </w:r>
      <w:r w:rsidR="00560D54" w:rsidRPr="00ED7A64">
        <w:rPr>
          <w:rFonts w:ascii="Times New Roman" w:hAnsi="Times New Roman" w:cs="Times New Roman"/>
          <w:sz w:val="24"/>
          <w:szCs w:val="24"/>
        </w:rPr>
        <w:t>Miejskiego w Białymstoku i</w:t>
      </w:r>
      <w:r w:rsidR="0023644D" w:rsidRPr="00ED7A64">
        <w:rPr>
          <w:rFonts w:ascii="Times New Roman" w:hAnsi="Times New Roman" w:cs="Times New Roman"/>
          <w:sz w:val="24"/>
          <w:szCs w:val="24"/>
        </w:rPr>
        <w:t xml:space="preserve"> </w:t>
      </w:r>
      <w:r w:rsidR="00560D54" w:rsidRPr="00ED7A64">
        <w:rPr>
          <w:rFonts w:ascii="Times New Roman" w:hAnsi="Times New Roman" w:cs="Times New Roman"/>
          <w:sz w:val="24"/>
          <w:szCs w:val="24"/>
        </w:rPr>
        <w:t xml:space="preserve">na </w:t>
      </w:r>
      <w:r w:rsidRPr="00ED7A64">
        <w:rPr>
          <w:rFonts w:ascii="Times New Roman" w:hAnsi="Times New Roman" w:cs="Times New Roman"/>
          <w:sz w:val="24"/>
          <w:szCs w:val="24"/>
        </w:rPr>
        <w:t>stronie internetowej</w:t>
      </w:r>
      <w:r w:rsidR="0023644D" w:rsidRPr="00ED7A64">
        <w:rPr>
          <w:rFonts w:ascii="Times New Roman" w:hAnsi="Times New Roman" w:cs="Times New Roman"/>
          <w:sz w:val="24"/>
          <w:szCs w:val="24"/>
        </w:rPr>
        <w:t xml:space="preserve"> oraz w </w:t>
      </w:r>
      <w:r w:rsidRPr="00ED7A64">
        <w:rPr>
          <w:rFonts w:ascii="Times New Roman" w:hAnsi="Times New Roman" w:cs="Times New Roman"/>
          <w:sz w:val="24"/>
          <w:szCs w:val="24"/>
        </w:rPr>
        <w:t>Biuletyn</w:t>
      </w:r>
      <w:r w:rsidR="00560D54" w:rsidRPr="00ED7A64">
        <w:rPr>
          <w:rFonts w:ascii="Times New Roman" w:hAnsi="Times New Roman" w:cs="Times New Roman"/>
          <w:sz w:val="24"/>
          <w:szCs w:val="24"/>
        </w:rPr>
        <w:t>ie</w:t>
      </w:r>
      <w:r w:rsidRPr="00ED7A64">
        <w:rPr>
          <w:rFonts w:ascii="Times New Roman" w:hAnsi="Times New Roman" w:cs="Times New Roman"/>
          <w:sz w:val="24"/>
          <w:szCs w:val="24"/>
        </w:rPr>
        <w:t xml:space="preserve"> Informacji Publicznej Białostockiego Ośrodka Sportu i Rekreacji.</w:t>
      </w:r>
    </w:p>
    <w:p w14:paraId="33074CC7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A1942BD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 ogłoszeniu o przetargu podaje się informacje o:</w:t>
      </w:r>
    </w:p>
    <w:p w14:paraId="76221B55" w14:textId="77777777" w:rsidR="004066DB" w:rsidRPr="00ED7A64" w:rsidRDefault="004066DB" w:rsidP="00A9328C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przedmiocie przetargu;</w:t>
      </w:r>
    </w:p>
    <w:p w14:paraId="157F8172" w14:textId="77777777" w:rsidR="004066DB" w:rsidRPr="00ED7A64" w:rsidRDefault="004066DB" w:rsidP="00A9328C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czasie i miejscu przetargu;</w:t>
      </w:r>
    </w:p>
    <w:p w14:paraId="5795A5BD" w14:textId="77777777" w:rsidR="004066DB" w:rsidRPr="00ED7A64" w:rsidRDefault="004066DB" w:rsidP="00A9328C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wysokości stawki wywoławczej;</w:t>
      </w:r>
    </w:p>
    <w:p w14:paraId="23042DC3" w14:textId="77777777" w:rsidR="004066DB" w:rsidRPr="00ED7A64" w:rsidRDefault="004066DB" w:rsidP="00A9328C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wysokości wadium oraz terminie i miejscu jego wpłacenia;</w:t>
      </w:r>
    </w:p>
    <w:p w14:paraId="725C4D1B" w14:textId="77777777" w:rsidR="004066DB" w:rsidRPr="00ED7A64" w:rsidRDefault="004066DB" w:rsidP="00A9328C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wysokości kaucji jako zabezpieczenia należytego wykonania umowy;</w:t>
      </w:r>
    </w:p>
    <w:p w14:paraId="5A06F8A5" w14:textId="77777777" w:rsidR="004066DB" w:rsidRPr="00ED7A64" w:rsidRDefault="004066DB" w:rsidP="00A9328C">
      <w:pPr>
        <w:pStyle w:val="Akapitzlist"/>
        <w:numPr>
          <w:ilvl w:val="0"/>
          <w:numId w:val="33"/>
        </w:numPr>
        <w:tabs>
          <w:tab w:val="left" w:pos="284"/>
        </w:tabs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możliwości zapoznania się z regulaminem, warunkami przetargu oraz postanowieniami  przyszłej umowy.</w:t>
      </w:r>
    </w:p>
    <w:p w14:paraId="587DCB40" w14:textId="77777777" w:rsidR="004066DB" w:rsidRPr="00ED7A64" w:rsidRDefault="004066DB" w:rsidP="00A9328C">
      <w:pPr>
        <w:pStyle w:val="Akapitzlist"/>
        <w:tabs>
          <w:tab w:val="left" w:pos="28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CEB3302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Ogłoszenie o przetargu może również zawierać inne niż określone w ust. 3 postanowienia, a w szczególności dotyczące okresu najmu lub dzierżawy, rodzaju działalności, jaka może być prowadzona w lokalu lub na nieruchomości i inne.</w:t>
      </w:r>
    </w:p>
    <w:p w14:paraId="1610CEFD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DE16BBF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dotyczy stawki brutto czynszu za 1 m</w:t>
      </w:r>
      <w:r w:rsidRPr="00ED7A6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D7A64">
        <w:rPr>
          <w:rFonts w:ascii="Times New Roman" w:hAnsi="Times New Roman" w:cs="Times New Roman"/>
          <w:sz w:val="24"/>
          <w:szCs w:val="24"/>
        </w:rPr>
        <w:t xml:space="preserve"> powierzchni lokalu użytkowego lub nieruchomości, płaconej w okresach miesięcznych na podstawie faktury VAT.</w:t>
      </w:r>
    </w:p>
    <w:p w14:paraId="6BEF3BD3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70BC1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Warunkiem uczestnictwa w przetargu jest wpłacenie wadium w wysokości trzymiesięcznej opłaty ustalonej jako iloczyn powierzchni nieruchomości i stawki wyjściowej do licytacji, zaokrąglonej do pełnych złotych, w terminie podanym w ogłoszeniu o przetargu.</w:t>
      </w:r>
    </w:p>
    <w:p w14:paraId="7BEADFEC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9D67C0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Wadium zwraca się niezwłocznie po odwołaniu lub zamknięciu przetargu, jednak nie później niż przed upływem 22 dni od dnia odwołania lub zamknięcia przetargu.</w:t>
      </w:r>
    </w:p>
    <w:p w14:paraId="3DA23D3E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143D2E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Wadium wpłacone przez uczestnika, który przetarg wygrał, zalicza się na poczet kaucji lub czynszu i opłat dodatkowych.</w:t>
      </w:r>
    </w:p>
    <w:p w14:paraId="677BD664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DC9B83" w14:textId="77777777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Czynności związane z przeprowadzeniem przetargu wykonuje komisja w składzie 3 osób.</w:t>
      </w:r>
    </w:p>
    <w:p w14:paraId="6E46BA9E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22AEC" w14:textId="3B5103C8" w:rsidR="004066DB" w:rsidRPr="00ED7A64" w:rsidRDefault="004066DB" w:rsidP="00A9328C">
      <w:pPr>
        <w:pStyle w:val="Akapitzlist"/>
        <w:numPr>
          <w:ilvl w:val="0"/>
          <w:numId w:val="3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Do wynajęcia lub dzierżawy, w trybie przetargu przeznacza się nieruchomości prawnie i fizycznie wolne, z zastrzeżeniem ust. 11 i 12</w:t>
      </w:r>
      <w:r w:rsidR="00ED7A64" w:rsidRPr="00ED7A64">
        <w:rPr>
          <w:rFonts w:ascii="Times New Roman" w:hAnsi="Times New Roman" w:cs="Times New Roman"/>
          <w:sz w:val="24"/>
          <w:szCs w:val="24"/>
        </w:rPr>
        <w:t>.</w:t>
      </w:r>
    </w:p>
    <w:p w14:paraId="78E56C62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lastRenderedPageBreak/>
        <w:t>11. Do przetargu może być przeznaczona nieruchomość, która nie jest wolna, o ile czas trwania dotychczasowej umowy na czas nieoznaczony lub na czas oznaczony dłuższy niż 3 lata kończy się przed dniem przetargu.</w:t>
      </w:r>
    </w:p>
    <w:p w14:paraId="147BE4D7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7006BBAF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12. W przypadku, gdy nieruchomość jest wynajęta lub wydzierżawiona na czas oznaczony do lat trzech, może być przeznaczona do przetargu przed zakończeniem umowy.</w:t>
      </w:r>
    </w:p>
    <w:p w14:paraId="4D5B0F86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14:paraId="396F77B3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     13. Ryzyko niezwolnienia nieruchomości przez jego dotychczasowego posiadacza musi zostać ujawnione w ogłoszeniu o przetargu.</w:t>
      </w:r>
    </w:p>
    <w:p w14:paraId="044FD6B6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CBEF1" w14:textId="3E204FD0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     14. Osoba zajmująca nieruchomość, o której mowa w ust. 11 i 12, zobowiązana jest do przedłożenia w terminie 7 dni od dnia wezwania, sporządzonego na własny koszt aktu notarialnego, zawierającego oświadczenie o poddaniu się, w trybie art. 777 § 1 Kodeksu postępowania cywilnego, egzekucji co do wydania nieruchomości, w terminie 5 dni roboczych od dnia przetargu, z zastrzeżeniem ust. 1</w:t>
      </w:r>
      <w:r w:rsidR="00897674" w:rsidRPr="00ED7A64">
        <w:rPr>
          <w:rFonts w:ascii="Times New Roman" w:hAnsi="Times New Roman" w:cs="Times New Roman"/>
          <w:sz w:val="24"/>
          <w:szCs w:val="24"/>
        </w:rPr>
        <w:t>5</w:t>
      </w:r>
      <w:r w:rsidRPr="00ED7A64">
        <w:rPr>
          <w:rFonts w:ascii="Times New Roman" w:hAnsi="Times New Roman" w:cs="Times New Roman"/>
          <w:sz w:val="24"/>
          <w:szCs w:val="24"/>
        </w:rPr>
        <w:t>.</w:t>
      </w:r>
    </w:p>
    <w:p w14:paraId="6665C737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987480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    15. Zasady, o których mowa w ust. 13 i 14 nie dotyczą sytuacji, gdy najemca zamierzając wydać lokal wypowiedział umowę i złożył wniosek o skrócenie okresu wypowiedzenia. W przypadku stwierdzenia przez organizatora przetargu wpłaty wadium, przed datą przetargu umowa taka zostaje rozwiązana za porozumieniem stron a lokal przejęty przez wynajmującego. Stawka czynszu ustalona w przetargu nie może być niższa niż wysokość dotychczasowej. W przypadku nie rozwiązania umowy i nie przejęcia nieruchomości w wyznaczonym terminie, przetarg zostaje odwołany.</w:t>
      </w:r>
    </w:p>
    <w:p w14:paraId="18BA4571" w14:textId="77777777" w:rsidR="004066DB" w:rsidRPr="00ED7A64" w:rsidRDefault="004066DB" w:rsidP="00A9328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06CBF4" w14:textId="77777777" w:rsidR="004066DB" w:rsidRPr="00ED7A64" w:rsidRDefault="004066DB" w:rsidP="00A93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2. Przetarg ustny (licytacja)</w:t>
      </w:r>
    </w:p>
    <w:p w14:paraId="48CB298E" w14:textId="77777777" w:rsidR="004066DB" w:rsidRPr="00ED7A64" w:rsidRDefault="004066DB" w:rsidP="00A9328C">
      <w:pPr>
        <w:pStyle w:val="Akapitzlist"/>
        <w:numPr>
          <w:ilvl w:val="0"/>
          <w:numId w:val="34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ustny odbywa się w drodze publicznej licytacji.</w:t>
      </w:r>
    </w:p>
    <w:p w14:paraId="3506053A" w14:textId="77777777" w:rsidR="004066DB" w:rsidRPr="00ED7A64" w:rsidRDefault="004066DB" w:rsidP="00A9328C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Przewodniczący  komisji przetargowej otwiera przetarg, przekazując uczestnikom informacje o przedmiocie przetargu, zasadach przetargu oraz istotnych warunkach umowy.</w:t>
      </w:r>
    </w:p>
    <w:p w14:paraId="43035757" w14:textId="77777777" w:rsidR="004066DB" w:rsidRPr="00ED7A64" w:rsidRDefault="004066DB" w:rsidP="00A9328C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Przewodniczący komisji przetargowej informuje uczestników przetargu, że po trzecim wywołaniu najwyższej zaoferowanej stawki dalsze postąpienia nie zostaną przyjęte.</w:t>
      </w:r>
    </w:p>
    <w:p w14:paraId="723A7334" w14:textId="77777777" w:rsidR="004066DB" w:rsidRPr="00ED7A64" w:rsidRDefault="004066DB" w:rsidP="00A9328C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Każdy uczestnik przetargu otrzymuje numer identyfikacyjny.</w:t>
      </w:r>
    </w:p>
    <w:p w14:paraId="4762807C" w14:textId="77777777" w:rsidR="004066DB" w:rsidRPr="00ED7A64" w:rsidRDefault="004066DB" w:rsidP="00A9328C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Licytacja odbywa się poprzez podniesienie ręki i głośne podanie proponowanej stawki.</w:t>
      </w:r>
    </w:p>
    <w:p w14:paraId="28E7F2C9" w14:textId="77777777" w:rsidR="004066DB" w:rsidRPr="00ED7A64" w:rsidRDefault="004066DB" w:rsidP="00A9328C">
      <w:pPr>
        <w:pStyle w:val="Akapitzlist"/>
        <w:numPr>
          <w:ilvl w:val="0"/>
          <w:numId w:val="35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Każde kolejne postąpienie ustala się w wysokości określonej w ogłoszeniu o przetargu.</w:t>
      </w:r>
    </w:p>
    <w:p w14:paraId="6559C569" w14:textId="77777777" w:rsidR="004066DB" w:rsidRPr="00ED7A64" w:rsidRDefault="004066DB" w:rsidP="00A9328C">
      <w:pPr>
        <w:pStyle w:val="Akapitzlist"/>
        <w:numPr>
          <w:ilvl w:val="0"/>
          <w:numId w:val="36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Po ustaniu zgłaszania postąpień przewodniczący komisji wywołuje trzykrotnie ostatnią, najwyższą cenę i zamyka przetarg, a następnie ogłasza imię i nazwisko osoby albo firmę, która przetarg wygrała.</w:t>
      </w:r>
    </w:p>
    <w:p w14:paraId="3FF7366B" w14:textId="77777777" w:rsidR="004066DB" w:rsidRPr="00ED7A64" w:rsidRDefault="004066DB" w:rsidP="00A9328C">
      <w:pPr>
        <w:pStyle w:val="Akapitzlist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jest ważny bez względu na liczbę uczestników, jeżeli chociaż jeden z nich zaoferował co najmniej jedno postąpienie.</w:t>
      </w:r>
    </w:p>
    <w:p w14:paraId="09EF8895" w14:textId="77777777" w:rsidR="004066DB" w:rsidRPr="00ED7A64" w:rsidRDefault="004066DB" w:rsidP="00A9328C">
      <w:pPr>
        <w:pStyle w:val="Akapitzlist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Z postępowania przetargowego sporządza się protokół, który podpisują wszyscy członkowie komisji i osoba, która wygrała przetarg.</w:t>
      </w:r>
    </w:p>
    <w:p w14:paraId="45576A36" w14:textId="77777777" w:rsidR="004066DB" w:rsidRPr="00ED7A64" w:rsidRDefault="004066DB" w:rsidP="00A9328C">
      <w:pPr>
        <w:pStyle w:val="Akapitzlist"/>
        <w:numPr>
          <w:ilvl w:val="0"/>
          <w:numId w:val="37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Wygrywający przetarg podaje do protokołu rodzaj działalności, jaka będzie prowadzona na nieruchomości.</w:t>
      </w:r>
    </w:p>
    <w:p w14:paraId="4592684B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1CB7D473" w14:textId="77777777" w:rsidR="004066DB" w:rsidRPr="00ED7A64" w:rsidRDefault="004066DB" w:rsidP="00A93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3. Przetarg pisemny</w:t>
      </w:r>
    </w:p>
    <w:p w14:paraId="535DF307" w14:textId="77777777" w:rsidR="004066DB" w:rsidRPr="00ED7A64" w:rsidRDefault="004066DB" w:rsidP="00A9328C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Oferty w przetargu pisemnym należy składać w nieprzejrzystych, zamkniętych kopertach z napisem „przetarg – oznaczenie nieruchomości”</w:t>
      </w:r>
    </w:p>
    <w:p w14:paraId="564136AC" w14:textId="77777777" w:rsidR="004066DB" w:rsidRPr="00ED7A64" w:rsidRDefault="004066DB" w:rsidP="00A9328C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Elementy konieczne oferty, dobór kryteriów oceny oraz ich wagę określa się w ogłoszeniu o przetargu.</w:t>
      </w:r>
    </w:p>
    <w:p w14:paraId="1EDB4A3D" w14:textId="77777777" w:rsidR="004066DB" w:rsidRPr="00ED7A64" w:rsidRDefault="004066DB" w:rsidP="00A9328C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Przetarg składa się z części jawnej i niejawnej:</w:t>
      </w:r>
    </w:p>
    <w:p w14:paraId="5DBBD343" w14:textId="77777777" w:rsidR="004066DB" w:rsidRPr="00ED7A64" w:rsidRDefault="004066DB" w:rsidP="00A9328C">
      <w:pPr>
        <w:pStyle w:val="Akapitzlist"/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 xml:space="preserve">w części jawnej komisja dokonuje otwarcia ofert w obecności oferentów. </w:t>
      </w:r>
    </w:p>
    <w:p w14:paraId="09A487A9" w14:textId="77777777" w:rsidR="004066DB" w:rsidRPr="00ED7A64" w:rsidRDefault="004066DB" w:rsidP="00A9328C">
      <w:pPr>
        <w:pStyle w:val="Akapitzlist"/>
        <w:numPr>
          <w:ilvl w:val="0"/>
          <w:numId w:val="3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lastRenderedPageBreak/>
        <w:t>w części niejawnej komisja dokonuje wyboru oferty w oparciu o kryteria określone w ogłoszeniu o przetargu.</w:t>
      </w:r>
    </w:p>
    <w:p w14:paraId="07F51B77" w14:textId="77777777" w:rsidR="004066DB" w:rsidRPr="00ED7A64" w:rsidRDefault="004066DB" w:rsidP="00A9328C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Komisja ma prawo wezwać oferenta do złożenia wyjaśnień bądź uzupełnienia ofert określając stosowny termin nie dłuższy niż 3 dni.</w:t>
      </w:r>
    </w:p>
    <w:p w14:paraId="612B5921" w14:textId="77777777" w:rsidR="004066DB" w:rsidRPr="00ED7A64" w:rsidRDefault="004066DB" w:rsidP="00A9328C">
      <w:pPr>
        <w:pStyle w:val="Akapitzlist"/>
        <w:numPr>
          <w:ilvl w:val="0"/>
          <w:numId w:val="38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O wynikach przetargu zawiadamia się wszystkich jego uczestników na piśmie.</w:t>
      </w:r>
    </w:p>
    <w:p w14:paraId="570729F8" w14:textId="77777777" w:rsidR="004066DB" w:rsidRPr="00ED7A64" w:rsidRDefault="004066DB" w:rsidP="00A9328C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8E1E6E9" w14:textId="77777777" w:rsidR="004066DB" w:rsidRPr="00ED7A64" w:rsidRDefault="004066DB" w:rsidP="00A93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D7A64">
        <w:rPr>
          <w:rFonts w:ascii="Times New Roman" w:hAnsi="Times New Roman" w:cs="Times New Roman"/>
          <w:b/>
          <w:sz w:val="24"/>
          <w:szCs w:val="24"/>
        </w:rPr>
        <w:t>§ 4. Zasada pierwszeństwa dotychczasowego najemcy lub dzierżawcy</w:t>
      </w:r>
    </w:p>
    <w:p w14:paraId="1D644DFE" w14:textId="145E268B" w:rsidR="004066DB" w:rsidRPr="00ED7A64" w:rsidRDefault="004066DB" w:rsidP="00A9328C">
      <w:pPr>
        <w:pStyle w:val="Akapitzlist"/>
        <w:numPr>
          <w:ilvl w:val="0"/>
          <w:numId w:val="40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Dotychczasowy posiadacz nieruchomości, którego łączny okres najmu lub dzierżawy wynosi co najmniej 3 lata, posiada pierwszeństwo przed podmiotem wyłonionym  w trybie przetargu ustnego, o ile nie posiada zaległości czynszowych wobec wynajmującego, przedłoży na żądanie organizatora przetargu oświadczenie, o którym mowa w § 1 ust. 1</w:t>
      </w:r>
      <w:r w:rsidR="00897674" w:rsidRPr="00ED7A64">
        <w:rPr>
          <w:rFonts w:ascii="Times New Roman" w:hAnsi="Times New Roman" w:cs="Times New Roman"/>
          <w:sz w:val="24"/>
          <w:szCs w:val="24"/>
        </w:rPr>
        <w:t>4</w:t>
      </w:r>
      <w:r w:rsidRPr="00ED7A64">
        <w:rPr>
          <w:rFonts w:ascii="Times New Roman" w:hAnsi="Times New Roman" w:cs="Times New Roman"/>
          <w:sz w:val="24"/>
          <w:szCs w:val="24"/>
        </w:rPr>
        <w:t>, wpłaci wadium w wysokości i terminie określonym w ogłoszeniu o przetargu oraz przyjmie wylicytowaną stawkę czynszu. Oświadczenie o przyjęciu wylicytowanej stawki należy złożyć w dniu przetargu, po zakończeniu licytacji, do protokołu.</w:t>
      </w:r>
    </w:p>
    <w:p w14:paraId="2C10B87B" w14:textId="77777777" w:rsidR="004066DB" w:rsidRPr="00A9328C" w:rsidRDefault="004066DB" w:rsidP="00A9328C">
      <w:pPr>
        <w:pStyle w:val="Akapitzlist"/>
        <w:numPr>
          <w:ilvl w:val="0"/>
          <w:numId w:val="40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ED7A64">
        <w:rPr>
          <w:rFonts w:ascii="Times New Roman" w:hAnsi="Times New Roman" w:cs="Times New Roman"/>
          <w:sz w:val="24"/>
          <w:szCs w:val="24"/>
        </w:rPr>
        <w:t>Przepis ust. 1 stosuje się odpowiednio, w trybie przetargu pisemnego, przy czym prawo pierwszeństwa polega na tym, że dotychczasowy najemca, który złożył ofertę spełniającą warunki przetargu lecz nie zaproponował najwyższej stawki czynszu, otrzymuje informację od organizatora przetargu o najwyższej stawce zaproponowanej w ofertach spełniających warunki przetargu i w terminie 5 dni od dnia powiadomienia o przysługującym mu uprawnieniu, może złożyć organizatorowi przetargu oświadczenie o przyjęciu wskazanej stawki jako własnej. Jeżeli dotychczasowy najemca złoży oświadczenie o przyjęciu wskazanej stawki, wówczas organizator przetargu dokonując oceny ofert przyjmuje tą ofertę jako najwyżej ocenioną w kryterium „cena”.</w:t>
      </w:r>
    </w:p>
    <w:p w14:paraId="18820ACC" w14:textId="77777777" w:rsidR="004066DB" w:rsidRPr="00A9328C" w:rsidRDefault="004066DB" w:rsidP="00A9328C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4FE4EBDB" w14:textId="77777777" w:rsidR="004066DB" w:rsidRPr="00A9328C" w:rsidRDefault="004066DB" w:rsidP="00A93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b/>
          <w:sz w:val="24"/>
          <w:szCs w:val="24"/>
        </w:rPr>
        <w:t>§ 5. Warunki zawarcia umowy</w:t>
      </w:r>
    </w:p>
    <w:p w14:paraId="1C390FCC" w14:textId="77777777" w:rsidR="004066DB" w:rsidRPr="00A9328C" w:rsidRDefault="004066DB" w:rsidP="00A9328C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Warunkiem zawarcia umowy jest:</w:t>
      </w:r>
    </w:p>
    <w:p w14:paraId="541FB36A" w14:textId="77777777" w:rsidR="004066DB" w:rsidRPr="00A9328C" w:rsidRDefault="004066DB" w:rsidP="00A9328C">
      <w:pPr>
        <w:pStyle w:val="Akapitzlist"/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wpłacenie kaucji zabezpieczającej, w wysokości określonej w ust. 2;</w:t>
      </w:r>
    </w:p>
    <w:p w14:paraId="5F32CD16" w14:textId="3DD0E534" w:rsidR="004066DB" w:rsidRPr="00A9328C" w:rsidRDefault="004066DB" w:rsidP="00A9328C">
      <w:pPr>
        <w:pStyle w:val="Akapitzlist"/>
        <w:numPr>
          <w:ilvl w:val="0"/>
          <w:numId w:val="42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złożenie oświadczenia przez współmałżonka – w przypadku, gdy stroną umowy będzie osoba fizyczna - w zakresie wyrażenia zgody na zawarcie umowy oraz poddania się egzekucji z majątku wspólnego. Wzór oświadczenia stanowi załącznik nr 2 do zarządzenia nr 587/22 Prezydenta Miasta Białegostoku z dnia 24 czerwca 2022 r. w sprawie określenia warunków umów najmu, dzierżawy i użyczenia nieruchomości stanowiących zasób Miasta Białystok ze zm.</w:t>
      </w:r>
    </w:p>
    <w:p w14:paraId="3AF2AE31" w14:textId="77777777" w:rsidR="004066DB" w:rsidRPr="00A9328C" w:rsidRDefault="004066DB" w:rsidP="00A9328C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Przewodniczący komisji zażąda od osoby, która przetarg wygrała, zabezpieczenia wykonania zobowiązań finansowych wynikających z umowy w postaci kaucji do kwoty stanowiącej równowartość trzymiesięcznego czynszu i opłat dodatkowych, obowiązujących w dniu zawarcia umowy najmu lub dzierżawy pod rygorem odstąpienia przez wynajmującego lub wydzierżawiającego od zawarcia umowy najmu lub dzierżawy. Kaucja może być wnoszona w pieniądzach, gwarancjach bankowych lub ubezpieczeniowych. Kaucja podlega zwrotowi po rozliczeniu wszelkich zobowiązań związanych z użytkowaniem nieruchomości.</w:t>
      </w:r>
    </w:p>
    <w:p w14:paraId="0B11688B" w14:textId="77777777" w:rsidR="004066DB" w:rsidRPr="00A9328C" w:rsidRDefault="004066DB" w:rsidP="00A9328C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W</w:t>
      </w:r>
      <w:r w:rsidRPr="00A932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328C">
        <w:rPr>
          <w:rFonts w:ascii="Times New Roman" w:hAnsi="Times New Roman" w:cs="Times New Roman"/>
          <w:sz w:val="24"/>
          <w:szCs w:val="24"/>
        </w:rPr>
        <w:t>przypadku, gdy wymiar jednomiesięcznego czynszu i opłat dodatkowych wynosi ponad 3.000,00 zł najemca winien przedłożyć oświadczenie w formie akty notarialnego o poddaniu się, w trybie art. 777 § 1 Kodeksu postępowania cywilnego, egzekucji co do wydania nieruchomości po zakończeniu najmu lub dzierżawy oraz egzekucji należności wynikających z umowy w wysokości dwunastomiesięcznego czynszu i opłat dodatkowych. Koszty sporządzenia aktu notarialnego obciążają najemcę lub dzierżawcę. W przypadku nie przedłożenia stosownego oświadczenia, w terminie 14 dni od podpisania umowy, nie później jednak niż przed przejęciem lokalu, wynajmujący lub wydzierżawiający odstąpi od umowy bez zachowania terminów wypowiedzenia, a najemca lub dzierżawca zobowiązany będzie do zapłaty kary umownej w wysokości ustalonej w umowie.</w:t>
      </w:r>
    </w:p>
    <w:p w14:paraId="35E44EB3" w14:textId="77777777" w:rsidR="004066DB" w:rsidRPr="00A9328C" w:rsidRDefault="004066DB" w:rsidP="00A9328C">
      <w:pPr>
        <w:pStyle w:val="Akapitzlist"/>
        <w:numPr>
          <w:ilvl w:val="0"/>
          <w:numId w:val="41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lastRenderedPageBreak/>
        <w:t>Obowiązek wynikający z ust. 3 nie ma zastosowania w przypadku najmu bądź dzierżawy na cele publiczne w rozumieniu art. 6 ustawy z dnia 21 sierpnia 1997 r. o gospodarce nieruchomościami (Dz. U. z 2023 r. poz. 344 ze zm.).</w:t>
      </w:r>
    </w:p>
    <w:p w14:paraId="12ABF755" w14:textId="77777777" w:rsidR="004066DB" w:rsidRPr="00A9328C" w:rsidRDefault="004066DB" w:rsidP="00A9328C">
      <w:pPr>
        <w:pStyle w:val="Akapitzlist"/>
        <w:tabs>
          <w:tab w:val="left" w:pos="567"/>
        </w:tabs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</w:rPr>
      </w:pPr>
    </w:p>
    <w:p w14:paraId="6A3C243C" w14:textId="77777777" w:rsidR="004066DB" w:rsidRPr="00A9328C" w:rsidRDefault="004066DB" w:rsidP="00A932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328C">
        <w:rPr>
          <w:rFonts w:ascii="Times New Roman" w:hAnsi="Times New Roman" w:cs="Times New Roman"/>
          <w:b/>
          <w:sz w:val="24"/>
          <w:szCs w:val="24"/>
        </w:rPr>
        <w:t>§ 6. Przepisy końcowe</w:t>
      </w:r>
    </w:p>
    <w:p w14:paraId="20470005" w14:textId="77777777" w:rsidR="004066DB" w:rsidRPr="00A9328C" w:rsidRDefault="004066DB" w:rsidP="00A9328C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Protokół z przeprowadzonego przetargu stanowi podstawę do określenia postanowień umowy.</w:t>
      </w:r>
    </w:p>
    <w:p w14:paraId="5ED87AB5" w14:textId="77777777" w:rsidR="004066DB" w:rsidRPr="00A9328C" w:rsidRDefault="004066DB" w:rsidP="00A9328C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Organizator przetargu ma prawo odwołać lub zmienić warunki przetargu nie później jednak niż do czasu złożenia pierwszej oferty w przetargu ustnym lub otwarcia ofert w przetargu pisemnym oraz unieważnić przetarg bez podania przyczyn, jak również zamknąć przetarg bez wybierania którejkolwiek z ofert.</w:t>
      </w:r>
    </w:p>
    <w:p w14:paraId="31E8691E" w14:textId="711FFC2A" w:rsidR="004066DB" w:rsidRPr="00A9328C" w:rsidRDefault="004066DB" w:rsidP="00A9328C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 xml:space="preserve">Podpisanie umowy z osobą, która wygrała przetarg, następuje nie później niż w ciągu </w:t>
      </w:r>
      <w:r w:rsidRPr="00A9328C">
        <w:rPr>
          <w:rFonts w:ascii="Times New Roman" w:hAnsi="Times New Roman" w:cs="Times New Roman"/>
          <w:strike/>
          <w:sz w:val="24"/>
          <w:szCs w:val="24"/>
        </w:rPr>
        <w:t>7</w:t>
      </w:r>
      <w:r w:rsidRPr="00A9328C">
        <w:rPr>
          <w:rFonts w:ascii="Times New Roman" w:hAnsi="Times New Roman" w:cs="Times New Roman"/>
          <w:sz w:val="24"/>
          <w:szCs w:val="24"/>
        </w:rPr>
        <w:t xml:space="preserve"> 10 dni od dnia przetargu ustnego lub 10 dni od dnia powiadomienia podmiotu wyłonionego w drodze przetargu pisemnego. W przypadku nieopróżnienia nieruchomości, o której mowa w §1 ust. 10, w terminie 5 dni od dnia przetargu, oferent, który zaproponował najwyższą stawkę lub złożył najkorzystniejszą ofertę może złożyć oświadczenie o rezygnacji z zawarcia umowy. Nie złożenie oświadczenia jest rozumiane jako zgoda na zawarcie umowy po opróżnieniu i wydaniu nieruchomości przez byłego najemcę. W przypadku niepodpisania umowy z przyczyn niezależnych od organizatora przetargu, wpłacone wadium ulega przepadkowi.</w:t>
      </w:r>
    </w:p>
    <w:p w14:paraId="3C1564F0" w14:textId="77777777" w:rsidR="004066DB" w:rsidRPr="00A9328C" w:rsidRDefault="004066DB" w:rsidP="00A9328C">
      <w:pPr>
        <w:pStyle w:val="Akapitzlist"/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A9328C">
        <w:rPr>
          <w:rFonts w:ascii="Times New Roman" w:hAnsi="Times New Roman" w:cs="Times New Roman"/>
          <w:sz w:val="24"/>
          <w:szCs w:val="24"/>
        </w:rPr>
        <w:t>Protokolarne przejęcie nieruchomości lub lokalu użytkowego następuje w ciągu 3 dni roboczych od daty zawarcia umowy najmu lub dzierżawy. W protokolarnego nieprzejęcia protokolarnego nieruchomości  lub lokalu użytkowego wynajmujący lub wydzierżawiający może odstąpić od umowy – w takim przypadku wpłacone wadium ulega przepadkowi. Obowiązek protokolarnego przejęcia nieruchomości lub lokalu użytkowego nie dotyczy sytuacji, gdy najemcą lub dzierżawcą wyłonionym w trybie przetargu jest dotychczasowy posiadacz nieruchomości lub lokalu użytkowego.</w:t>
      </w:r>
    </w:p>
    <w:p w14:paraId="4C8E72FA" w14:textId="138B99D1" w:rsidR="002E7D12" w:rsidRPr="00A9328C" w:rsidRDefault="002E7D12" w:rsidP="00A9328C">
      <w:pPr>
        <w:rPr>
          <w:rFonts w:ascii="Times New Roman" w:hAnsi="Times New Roman" w:cs="Times New Roman"/>
          <w:sz w:val="24"/>
          <w:szCs w:val="24"/>
        </w:rPr>
      </w:pPr>
    </w:p>
    <w:p w14:paraId="763F2F79" w14:textId="04AD19F4" w:rsidR="00A9328C" w:rsidRPr="00A9328C" w:rsidRDefault="00A9328C" w:rsidP="00A932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328C">
        <w:rPr>
          <w:rFonts w:ascii="Times New Roman" w:hAnsi="Times New Roman" w:cs="Times New Roman"/>
          <w:b/>
          <w:bCs/>
          <w:sz w:val="24"/>
          <w:szCs w:val="24"/>
        </w:rPr>
        <w:t>Dyrektor BOSiR</w:t>
      </w:r>
    </w:p>
    <w:p w14:paraId="69BA6D96" w14:textId="7475BFBC" w:rsidR="00A9328C" w:rsidRPr="00A9328C" w:rsidRDefault="00A9328C" w:rsidP="00A9328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328C">
        <w:rPr>
          <w:rFonts w:ascii="Times New Roman" w:hAnsi="Times New Roman" w:cs="Times New Roman"/>
          <w:b/>
          <w:bCs/>
          <w:sz w:val="24"/>
          <w:szCs w:val="24"/>
        </w:rPr>
        <w:t>Paweł Orpik</w:t>
      </w:r>
    </w:p>
    <w:sectPr w:rsidR="00A9328C" w:rsidRPr="00A9328C" w:rsidSect="00FE13BD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pStyle w:val="Tytuaktu"/>
      <w:suff w:val="nothing"/>
      <w:lvlText w:val=""/>
      <w:lvlJc w:val="left"/>
      <w:pPr>
        <w:tabs>
          <w:tab w:val="num" w:pos="0"/>
        </w:tabs>
        <w:ind w:left="0" w:firstLine="288"/>
      </w:pPr>
    </w:lvl>
    <w:lvl w:ilvl="1">
      <w:start w:val="1"/>
      <w:numFmt w:val="none"/>
      <w:suff w:val="nothing"/>
      <w:lvlText w:val="Załącznik"/>
      <w:lvlJc w:val="right"/>
      <w:pPr>
        <w:tabs>
          <w:tab w:val="num" w:pos="5954"/>
        </w:tabs>
        <w:ind w:left="5954" w:firstLine="0"/>
      </w:pPr>
    </w:lvl>
    <w:lvl w:ilvl="2">
      <w:start w:val="1"/>
      <w:numFmt w:val="none"/>
      <w:suff w:val="nothing"/>
      <w:lvlText w:val=""/>
      <w:lvlJc w:val="right"/>
      <w:pPr>
        <w:tabs>
          <w:tab w:val="num" w:pos="5954"/>
        </w:tabs>
        <w:ind w:left="5954" w:firstLine="0"/>
      </w:pPr>
    </w:lvl>
    <w:lvl w:ilvl="3">
      <w:start w:val="1"/>
      <w:numFmt w:val="decimal"/>
      <w:lvlText w:val="§ .%4"/>
      <w:lvlJc w:val="left"/>
      <w:pPr>
        <w:tabs>
          <w:tab w:val="num" w:pos="0"/>
        </w:tabs>
        <w:ind w:left="0" w:firstLine="397"/>
      </w:pPr>
    </w:lvl>
    <w:lvl w:ilvl="4">
      <w:start w:val="2"/>
      <w:numFmt w:val="decimal"/>
      <w:lvlText w:val=".%5"/>
      <w:lvlJc w:val="left"/>
      <w:pPr>
        <w:tabs>
          <w:tab w:val="num" w:pos="0"/>
        </w:tabs>
        <w:ind w:left="0" w:firstLine="624"/>
      </w:pPr>
    </w:lvl>
    <w:lvl w:ilvl="5">
      <w:start w:val="1"/>
      <w:numFmt w:val="decimal"/>
      <w:lvlText w:val=")%6"/>
      <w:lvlJc w:val="left"/>
      <w:pPr>
        <w:tabs>
          <w:tab w:val="num" w:pos="397"/>
        </w:tabs>
        <w:ind w:left="397" w:hanging="340"/>
      </w:pPr>
    </w:lvl>
    <w:lvl w:ilvl="6">
      <w:start w:val="1"/>
      <w:numFmt w:val="lowerLetter"/>
      <w:lvlText w:val=")%7"/>
      <w:lvlJc w:val="left"/>
      <w:pPr>
        <w:tabs>
          <w:tab w:val="num" w:pos="680"/>
        </w:tabs>
        <w:ind w:left="680" w:hanging="226"/>
      </w:pPr>
    </w:lvl>
    <w:lvl w:ilvl="7">
      <w:start w:val="1"/>
      <w:numFmt w:val="bullet"/>
      <w:lvlText w:val="-"/>
      <w:lvlJc w:val="left"/>
      <w:pPr>
        <w:tabs>
          <w:tab w:val="num" w:pos="851"/>
        </w:tabs>
        <w:ind w:left="851" w:hanging="171"/>
      </w:pPr>
      <w:rPr>
        <w:rFonts w:ascii="Times New Roman" w:hAnsi="Times New Roman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rFonts w:ascii="Times New Roman" w:hAnsi="Times New Roman"/>
        <w:b w:val="0"/>
        <w:i w:val="0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397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68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851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E3D66"/>
    <w:multiLevelType w:val="hybridMultilevel"/>
    <w:tmpl w:val="690445B0"/>
    <w:lvl w:ilvl="0" w:tplc="F0BC11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A6221"/>
    <w:multiLevelType w:val="hybridMultilevel"/>
    <w:tmpl w:val="AD4E2072"/>
    <w:lvl w:ilvl="0" w:tplc="1D54A3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17430F"/>
    <w:multiLevelType w:val="hybridMultilevel"/>
    <w:tmpl w:val="26E0A3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AB4481"/>
    <w:multiLevelType w:val="hybridMultilevel"/>
    <w:tmpl w:val="99AE29F6"/>
    <w:lvl w:ilvl="0" w:tplc="406E24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F47A4"/>
    <w:multiLevelType w:val="hybridMultilevel"/>
    <w:tmpl w:val="59CEBE7E"/>
    <w:lvl w:ilvl="0" w:tplc="14CE7E2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E69A4"/>
    <w:multiLevelType w:val="hybridMultilevel"/>
    <w:tmpl w:val="C0C0F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B7839"/>
    <w:multiLevelType w:val="hybridMultilevel"/>
    <w:tmpl w:val="03B8F012"/>
    <w:lvl w:ilvl="0" w:tplc="0415000F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E3F130F"/>
    <w:multiLevelType w:val="hybridMultilevel"/>
    <w:tmpl w:val="A7782F68"/>
    <w:lvl w:ilvl="0" w:tplc="C73864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802CF"/>
    <w:multiLevelType w:val="hybridMultilevel"/>
    <w:tmpl w:val="CDA6DCF2"/>
    <w:lvl w:ilvl="0" w:tplc="038EA4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002D2"/>
    <w:multiLevelType w:val="hybridMultilevel"/>
    <w:tmpl w:val="FB5A65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3D11E1"/>
    <w:multiLevelType w:val="hybridMultilevel"/>
    <w:tmpl w:val="FA9014C4"/>
    <w:lvl w:ilvl="0" w:tplc="EAC64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10ABA"/>
    <w:multiLevelType w:val="hybridMultilevel"/>
    <w:tmpl w:val="D56AC058"/>
    <w:lvl w:ilvl="0" w:tplc="A816DB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D1F72DF"/>
    <w:multiLevelType w:val="hybridMultilevel"/>
    <w:tmpl w:val="9B22D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4830CB"/>
    <w:multiLevelType w:val="hybridMultilevel"/>
    <w:tmpl w:val="7B920376"/>
    <w:lvl w:ilvl="0" w:tplc="22BA7EA8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B97765"/>
    <w:multiLevelType w:val="hybridMultilevel"/>
    <w:tmpl w:val="841206FA"/>
    <w:lvl w:ilvl="0" w:tplc="8FA4F9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457396"/>
    <w:multiLevelType w:val="hybridMultilevel"/>
    <w:tmpl w:val="CE74E46C"/>
    <w:lvl w:ilvl="0" w:tplc="3D58B2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BF7796"/>
    <w:multiLevelType w:val="hybridMultilevel"/>
    <w:tmpl w:val="4C302528"/>
    <w:lvl w:ilvl="0" w:tplc="3A3A105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335343C"/>
    <w:multiLevelType w:val="hybridMultilevel"/>
    <w:tmpl w:val="49A6FB0E"/>
    <w:lvl w:ilvl="0" w:tplc="57FE1A6A">
      <w:start w:val="8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523A5"/>
    <w:multiLevelType w:val="hybridMultilevel"/>
    <w:tmpl w:val="88C0B998"/>
    <w:lvl w:ilvl="0" w:tplc="73969F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C306E5"/>
    <w:multiLevelType w:val="hybridMultilevel"/>
    <w:tmpl w:val="3AB81596"/>
    <w:lvl w:ilvl="0" w:tplc="3E7EE6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A97037"/>
    <w:multiLevelType w:val="hybridMultilevel"/>
    <w:tmpl w:val="860E4C2C"/>
    <w:lvl w:ilvl="0" w:tplc="C558636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16541"/>
    <w:multiLevelType w:val="hybridMultilevel"/>
    <w:tmpl w:val="60643170"/>
    <w:lvl w:ilvl="0" w:tplc="04150011">
      <w:start w:val="1"/>
      <w:numFmt w:val="decimal"/>
      <w:pStyle w:val="wsprawie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9894F07"/>
    <w:multiLevelType w:val="hybridMultilevel"/>
    <w:tmpl w:val="731C6B98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AD811C2"/>
    <w:multiLevelType w:val="hybridMultilevel"/>
    <w:tmpl w:val="CEC0137C"/>
    <w:lvl w:ilvl="0" w:tplc="0415000F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3E7DEC"/>
    <w:multiLevelType w:val="hybridMultilevel"/>
    <w:tmpl w:val="51A0CD6C"/>
    <w:lvl w:ilvl="0" w:tplc="3D52F36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0652640">
    <w:abstractNumId w:val="0"/>
  </w:num>
  <w:num w:numId="2" w16cid:durableId="514854238">
    <w:abstractNumId w:val="1"/>
  </w:num>
  <w:num w:numId="3" w16cid:durableId="61562377">
    <w:abstractNumId w:val="23"/>
  </w:num>
  <w:num w:numId="4" w16cid:durableId="2556544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660599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/>
    <w:lvlOverride w:ilvl="8">
      <w:startOverride w:val="1"/>
    </w:lvlOverride>
  </w:num>
  <w:num w:numId="6" w16cid:durableId="729117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8118797">
    <w:abstractNumId w:val="7"/>
  </w:num>
  <w:num w:numId="8" w16cid:durableId="1061560040">
    <w:abstractNumId w:val="8"/>
  </w:num>
  <w:num w:numId="9" w16cid:durableId="1744793835">
    <w:abstractNumId w:val="11"/>
  </w:num>
  <w:num w:numId="10" w16cid:durableId="890456476">
    <w:abstractNumId w:val="4"/>
  </w:num>
  <w:num w:numId="11" w16cid:durableId="833105706">
    <w:abstractNumId w:val="10"/>
  </w:num>
  <w:num w:numId="12" w16cid:durableId="1913848858">
    <w:abstractNumId w:val="14"/>
  </w:num>
  <w:num w:numId="13" w16cid:durableId="1813323644">
    <w:abstractNumId w:val="2"/>
  </w:num>
  <w:num w:numId="14" w16cid:durableId="1871600799">
    <w:abstractNumId w:val="6"/>
  </w:num>
  <w:num w:numId="15" w16cid:durableId="932202422">
    <w:abstractNumId w:val="22"/>
  </w:num>
  <w:num w:numId="16" w16cid:durableId="1144660099">
    <w:abstractNumId w:val="19"/>
  </w:num>
  <w:num w:numId="17" w16cid:durableId="634261520">
    <w:abstractNumId w:val="26"/>
  </w:num>
  <w:num w:numId="18" w16cid:durableId="27950233">
    <w:abstractNumId w:val="21"/>
  </w:num>
  <w:num w:numId="19" w16cid:durableId="1571691514">
    <w:abstractNumId w:val="17"/>
  </w:num>
  <w:num w:numId="20" w16cid:durableId="1782187299">
    <w:abstractNumId w:val="12"/>
  </w:num>
  <w:num w:numId="21" w16cid:durableId="1143080792">
    <w:abstractNumId w:val="20"/>
  </w:num>
  <w:num w:numId="22" w16cid:durableId="1883521032">
    <w:abstractNumId w:val="9"/>
  </w:num>
  <w:num w:numId="23" w16cid:durableId="1120414104">
    <w:abstractNumId w:val="16"/>
  </w:num>
  <w:num w:numId="24" w16cid:durableId="243416161">
    <w:abstractNumId w:val="5"/>
  </w:num>
  <w:num w:numId="25" w16cid:durableId="2104106658">
    <w:abstractNumId w:val="13"/>
  </w:num>
  <w:num w:numId="26" w16cid:durableId="2139298332">
    <w:abstractNumId w:val="3"/>
  </w:num>
  <w:num w:numId="27" w16cid:durableId="2021615433">
    <w:abstractNumId w:val="18"/>
  </w:num>
  <w:num w:numId="28" w16cid:durableId="1695618039">
    <w:abstractNumId w:val="15"/>
  </w:num>
  <w:num w:numId="29" w16cid:durableId="1875540018">
    <w:abstractNumId w:val="25"/>
  </w:num>
  <w:num w:numId="30" w16cid:durableId="60494086">
    <w:abstractNumId w:val="24"/>
  </w:num>
  <w:num w:numId="31" w16cid:durableId="9470091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493599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311273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953020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606677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78534736">
    <w:abstractNumId w:val="2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48424966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9294150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646753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105290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463260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692321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416268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A62"/>
    <w:rsid w:val="00026425"/>
    <w:rsid w:val="00027EFD"/>
    <w:rsid w:val="00064D3F"/>
    <w:rsid w:val="00076CFA"/>
    <w:rsid w:val="000A3545"/>
    <w:rsid w:val="000B5E34"/>
    <w:rsid w:val="000C0272"/>
    <w:rsid w:val="000C7B83"/>
    <w:rsid w:val="00100949"/>
    <w:rsid w:val="0010112D"/>
    <w:rsid w:val="0011128B"/>
    <w:rsid w:val="00132DD1"/>
    <w:rsid w:val="001410A6"/>
    <w:rsid w:val="001504DA"/>
    <w:rsid w:val="00156110"/>
    <w:rsid w:val="00162DFA"/>
    <w:rsid w:val="00172828"/>
    <w:rsid w:val="00180A6E"/>
    <w:rsid w:val="00181F3B"/>
    <w:rsid w:val="00191D7B"/>
    <w:rsid w:val="001963DE"/>
    <w:rsid w:val="001A70EA"/>
    <w:rsid w:val="001C1B1F"/>
    <w:rsid w:val="001D3C56"/>
    <w:rsid w:val="001F5443"/>
    <w:rsid w:val="002108B8"/>
    <w:rsid w:val="00215EA6"/>
    <w:rsid w:val="0023644D"/>
    <w:rsid w:val="00236C8E"/>
    <w:rsid w:val="00256997"/>
    <w:rsid w:val="0026017E"/>
    <w:rsid w:val="002636A0"/>
    <w:rsid w:val="00270E70"/>
    <w:rsid w:val="0028491E"/>
    <w:rsid w:val="002A0AC0"/>
    <w:rsid w:val="002D4BE0"/>
    <w:rsid w:val="002E737B"/>
    <w:rsid w:val="002E7D12"/>
    <w:rsid w:val="002F17B4"/>
    <w:rsid w:val="00302BE2"/>
    <w:rsid w:val="003154DB"/>
    <w:rsid w:val="00350674"/>
    <w:rsid w:val="00365CB6"/>
    <w:rsid w:val="00367B6E"/>
    <w:rsid w:val="003A0F38"/>
    <w:rsid w:val="003A2401"/>
    <w:rsid w:val="003C154C"/>
    <w:rsid w:val="003D154D"/>
    <w:rsid w:val="003D5816"/>
    <w:rsid w:val="004061AF"/>
    <w:rsid w:val="004066DB"/>
    <w:rsid w:val="0041678C"/>
    <w:rsid w:val="00447A00"/>
    <w:rsid w:val="004505FD"/>
    <w:rsid w:val="00451A11"/>
    <w:rsid w:val="00453004"/>
    <w:rsid w:val="00474EE2"/>
    <w:rsid w:val="00476A62"/>
    <w:rsid w:val="0048459F"/>
    <w:rsid w:val="004858F5"/>
    <w:rsid w:val="004D1378"/>
    <w:rsid w:val="004D3DF5"/>
    <w:rsid w:val="004F17EA"/>
    <w:rsid w:val="0051656F"/>
    <w:rsid w:val="00521241"/>
    <w:rsid w:val="00560D54"/>
    <w:rsid w:val="00565194"/>
    <w:rsid w:val="005701F8"/>
    <w:rsid w:val="005A33B0"/>
    <w:rsid w:val="005B2E03"/>
    <w:rsid w:val="005C1500"/>
    <w:rsid w:val="005D3669"/>
    <w:rsid w:val="005E7DB6"/>
    <w:rsid w:val="00600DF0"/>
    <w:rsid w:val="00601588"/>
    <w:rsid w:val="0062382E"/>
    <w:rsid w:val="006447A6"/>
    <w:rsid w:val="006504A6"/>
    <w:rsid w:val="0068440D"/>
    <w:rsid w:val="00685971"/>
    <w:rsid w:val="00687120"/>
    <w:rsid w:val="00694A74"/>
    <w:rsid w:val="006C1298"/>
    <w:rsid w:val="006C55FD"/>
    <w:rsid w:val="006D2886"/>
    <w:rsid w:val="006D3AB3"/>
    <w:rsid w:val="006E2647"/>
    <w:rsid w:val="0072173E"/>
    <w:rsid w:val="007271F1"/>
    <w:rsid w:val="00741C65"/>
    <w:rsid w:val="00742021"/>
    <w:rsid w:val="00757B33"/>
    <w:rsid w:val="007776EA"/>
    <w:rsid w:val="00796D34"/>
    <w:rsid w:val="007C6588"/>
    <w:rsid w:val="007E5631"/>
    <w:rsid w:val="007E7296"/>
    <w:rsid w:val="007F5DBD"/>
    <w:rsid w:val="00805D2E"/>
    <w:rsid w:val="008105C3"/>
    <w:rsid w:val="008441A2"/>
    <w:rsid w:val="008603CE"/>
    <w:rsid w:val="00862F27"/>
    <w:rsid w:val="008634B5"/>
    <w:rsid w:val="008724A6"/>
    <w:rsid w:val="00872CD1"/>
    <w:rsid w:val="008739BA"/>
    <w:rsid w:val="008935C0"/>
    <w:rsid w:val="00897674"/>
    <w:rsid w:val="00897806"/>
    <w:rsid w:val="008E73E2"/>
    <w:rsid w:val="008F226C"/>
    <w:rsid w:val="00905829"/>
    <w:rsid w:val="00910EAF"/>
    <w:rsid w:val="00924618"/>
    <w:rsid w:val="00944914"/>
    <w:rsid w:val="00964BED"/>
    <w:rsid w:val="00966022"/>
    <w:rsid w:val="00967F50"/>
    <w:rsid w:val="0098342F"/>
    <w:rsid w:val="009875AB"/>
    <w:rsid w:val="0099733E"/>
    <w:rsid w:val="009C0128"/>
    <w:rsid w:val="009C6285"/>
    <w:rsid w:val="009E09A5"/>
    <w:rsid w:val="009E1AEF"/>
    <w:rsid w:val="009E25AA"/>
    <w:rsid w:val="009F3031"/>
    <w:rsid w:val="00A124ED"/>
    <w:rsid w:val="00A23F18"/>
    <w:rsid w:val="00A37AAA"/>
    <w:rsid w:val="00A47828"/>
    <w:rsid w:val="00A618E6"/>
    <w:rsid w:val="00A735CC"/>
    <w:rsid w:val="00A9328C"/>
    <w:rsid w:val="00A94593"/>
    <w:rsid w:val="00AA3B52"/>
    <w:rsid w:val="00AA5892"/>
    <w:rsid w:val="00AA5EFE"/>
    <w:rsid w:val="00AB66D9"/>
    <w:rsid w:val="00AE20CA"/>
    <w:rsid w:val="00B15979"/>
    <w:rsid w:val="00B44916"/>
    <w:rsid w:val="00B8534A"/>
    <w:rsid w:val="00B859CF"/>
    <w:rsid w:val="00B96AEB"/>
    <w:rsid w:val="00C1485B"/>
    <w:rsid w:val="00C42CAA"/>
    <w:rsid w:val="00C4434D"/>
    <w:rsid w:val="00C803F9"/>
    <w:rsid w:val="00CA7CCC"/>
    <w:rsid w:val="00CB42AF"/>
    <w:rsid w:val="00CC129B"/>
    <w:rsid w:val="00D072D4"/>
    <w:rsid w:val="00D0794B"/>
    <w:rsid w:val="00D13678"/>
    <w:rsid w:val="00D13784"/>
    <w:rsid w:val="00D177ED"/>
    <w:rsid w:val="00D30489"/>
    <w:rsid w:val="00D4726E"/>
    <w:rsid w:val="00D621D3"/>
    <w:rsid w:val="00D63336"/>
    <w:rsid w:val="00D63F14"/>
    <w:rsid w:val="00D76968"/>
    <w:rsid w:val="00D83598"/>
    <w:rsid w:val="00D9070F"/>
    <w:rsid w:val="00DA21C6"/>
    <w:rsid w:val="00DA3C95"/>
    <w:rsid w:val="00DB1E34"/>
    <w:rsid w:val="00DC3939"/>
    <w:rsid w:val="00DD3085"/>
    <w:rsid w:val="00DD3691"/>
    <w:rsid w:val="00E23665"/>
    <w:rsid w:val="00E37704"/>
    <w:rsid w:val="00E5755B"/>
    <w:rsid w:val="00E70B99"/>
    <w:rsid w:val="00E710B5"/>
    <w:rsid w:val="00E7492B"/>
    <w:rsid w:val="00E93CA4"/>
    <w:rsid w:val="00E97BE5"/>
    <w:rsid w:val="00EA078F"/>
    <w:rsid w:val="00EA7C9A"/>
    <w:rsid w:val="00EB58CD"/>
    <w:rsid w:val="00EC0EEE"/>
    <w:rsid w:val="00ED2C35"/>
    <w:rsid w:val="00ED7A64"/>
    <w:rsid w:val="00F22D41"/>
    <w:rsid w:val="00F26940"/>
    <w:rsid w:val="00F551F1"/>
    <w:rsid w:val="00F86B92"/>
    <w:rsid w:val="00F86E6F"/>
    <w:rsid w:val="00F9484C"/>
    <w:rsid w:val="00FA0B98"/>
    <w:rsid w:val="00FC3AE2"/>
    <w:rsid w:val="00FD1C1B"/>
    <w:rsid w:val="00FD21CB"/>
    <w:rsid w:val="00FE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CBC2"/>
  <w15:docId w15:val="{CDF2A8F3-4330-4EE4-87B8-B2B9A21D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2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sprawie">
    <w:name w:val="w sprawie"/>
    <w:basedOn w:val="Normalny"/>
    <w:rsid w:val="00476A62"/>
    <w:pPr>
      <w:numPr>
        <w:numId w:val="3"/>
      </w:numPr>
      <w:suppressAutoHyphens/>
      <w:spacing w:after="160" w:line="240" w:lineRule="auto"/>
      <w:ind w:left="0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Tytuaktu">
    <w:name w:val="Tytuł aktu"/>
    <w:rsid w:val="00476A62"/>
    <w:pPr>
      <w:numPr>
        <w:numId w:val="1"/>
      </w:numPr>
      <w:suppressAutoHyphens/>
      <w:spacing w:after="120" w:line="240" w:lineRule="auto"/>
      <w:ind w:left="-864" w:firstLine="0"/>
      <w:jc w:val="center"/>
    </w:pPr>
    <w:rPr>
      <w:rFonts w:ascii="Times New Roman" w:eastAsia="Arial" w:hAnsi="Times New Roman" w:cs="Times New Roman"/>
      <w:b/>
      <w:caps/>
      <w:sz w:val="24"/>
      <w:szCs w:val="20"/>
      <w:lang w:eastAsia="ar-SA"/>
    </w:rPr>
  </w:style>
  <w:style w:type="paragraph" w:customStyle="1" w:styleId="zdnia">
    <w:name w:val="z dnia"/>
    <w:rsid w:val="00476A62"/>
    <w:pPr>
      <w:tabs>
        <w:tab w:val="num" w:pos="0"/>
      </w:tabs>
      <w:suppressAutoHyphens/>
      <w:spacing w:before="80" w:after="160" w:line="240" w:lineRule="auto"/>
      <w:ind w:hanging="360"/>
      <w:jc w:val="center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podstawa">
    <w:name w:val="podstawa"/>
    <w:rsid w:val="00476A62"/>
    <w:pPr>
      <w:tabs>
        <w:tab w:val="num" w:pos="0"/>
      </w:tabs>
      <w:suppressAutoHyphens/>
      <w:spacing w:before="80" w:after="240" w:line="240" w:lineRule="auto"/>
      <w:ind w:hanging="36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2D4B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A061E1-D397-4F47-A0FD-6286F9B73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1560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Wiola</dc:creator>
  <cp:lastModifiedBy>Aneta Dąbrowska</cp:lastModifiedBy>
  <cp:revision>2</cp:revision>
  <cp:lastPrinted>2023-08-03T07:50:00Z</cp:lastPrinted>
  <dcterms:created xsi:type="dcterms:W3CDTF">2025-08-14T06:02:00Z</dcterms:created>
  <dcterms:modified xsi:type="dcterms:W3CDTF">2025-08-14T06:02:00Z</dcterms:modified>
</cp:coreProperties>
</file>